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The Seat of the Soul: Four Nexus Points of Creation</w:t>
      </w:r>
    </w:p>
    <w:p>
      <w:pPr>
        <w:pStyle w:val="Heading1"/>
      </w:pPr>
      <w:r>
        <w:t>Abstract</w:t>
      </w:r>
    </w:p>
    <w:p>
      <w:r>
        <w:t>This paper proposes a model reframing the “seat of the soul” as a distributed, dynamic nexus formed by four interwoven layers: the atomic interface (zero-point field interaction), the DNA spiral (timeline probabilities), the neuronal–glial network (signal integration), and the field of coherence/intention (lived heart-based patterning). Together these layers act as a coherent architecture through which probability collapses, healing occurs, and consciousness expresses itself. The model further proposes that coherent fields do not merely modulate internal physiology: they extend into the surrounding environment, producing measurable manifest phenomena — the appearance or disappearance of matter, synchronistic patterning, and communicative signatures in music and number. Testable hypotheses and simple experimental protocols are suggested to bridge experiential practice with empirical inquiry.</w:t>
      </w:r>
    </w:p>
    <w:p>
      <w:pPr>
        <w:pStyle w:val="Heading1"/>
      </w:pPr>
      <w:r>
        <w:t>Introduction</w:t>
      </w:r>
    </w:p>
    <w:p>
      <w:r>
        <w:t>For centuries the question “Where is the soul?” has animated theology, philosophy, and science. Historically answers have varied — brain, heart, pineal gland, or a distributed field beyond anatomy. This paper reframes the question: rather than a single organ, the seat of the soul is a dynamic nexus — a layered architecture where multiple systems interweave to select realities from probabilities. This four-nexus model (atomic interface, DNA spiral, neuronal–glial network, and field of coherence) synthesizes lived frequency-based practice with emerging evidence of field-mediated effects. Crucially, the model posits that a coherent, intentional field can extend beyond the biological boundary, altering the immediate environment through mechanisms that manifest as material change, synchronicity, and patterned communication.</w:t>
      </w:r>
    </w:p>
    <w:p>
      <w:pPr>
        <w:pStyle w:val="Heading1"/>
      </w:pPr>
      <w:r>
        <w:t>The Four Nexus Points</w:t>
      </w:r>
    </w:p>
    <w:p>
      <w:pPr>
        <w:pStyle w:val="Heading2"/>
      </w:pPr>
      <w:r>
        <w:t>1. The Atomic Interface — the zero-point contact</w:t>
      </w:r>
    </w:p>
    <w:p>
      <w:r>
        <w:t>At the deepest level is the atomic and sub-atomic domain: the ground state of the vacuum or “zero-point” field. Quantum theory suggests that potential exists widely across configurations until a measurement/event causes a collapse into a specific outcome. In this model, the atomic interface is where raw potential is closest to matter, where a field of possibility is present but not yet realized. The nexus hypothesis proposes that coherent, directed intention can influence the boundary conditions at this level, biasing the collapse toward particular outcomes.</w:t>
      </w:r>
    </w:p>
    <w:p>
      <w:pPr>
        <w:pStyle w:val="Heading2"/>
      </w:pPr>
      <w:r>
        <w:t>2. The DNA Spiral — archival resonator of probabilities</w:t>
      </w:r>
    </w:p>
    <w:p>
      <w:r>
        <w:t>DNA is more than a chemical code. I propose treating the DNA spiral as a resonant archive that stores not just genetic sequence but also probabilistic tendencies — a living antenna that encodes patterns of predisposition and possibility across lineage and environment. DNA’s helical architecture is suited to resonant interaction; when coherence and intention impose a patterned field, the spiral reconfigures gene expression and temporal tendencies, making certain probabilities more likely to manifest.</w:t>
      </w:r>
    </w:p>
    <w:p>
      <w:pPr>
        <w:pStyle w:val="Heading2"/>
      </w:pPr>
      <w:r>
        <w:t>3. The Neuronal–Glial Network — the body’s integrative conductor</w:t>
      </w:r>
    </w:p>
    <w:p>
      <w:r>
        <w:t>Neurons and glial cells form the body’s primary signaling apparatus. Beyond electrochemical signaling, this network serves as the body’s interpreter and integrator of field-level instruction. In the proposed model, neurons and glia jointly translate pattern (intentional coherence) into embodied action. They route, amplify, and gate the field’s biasing effects so that cellular, organ, and whole-body processes align with a chosen trajectory. Structurally and functionally, this network intersects network nodes I describe as fourteen energy points — seven “internal” focal points and seven “external” field junctions — which act as nodal bridges between soma and field.</w:t>
      </w:r>
    </w:p>
    <w:p>
      <w:pPr>
        <w:pStyle w:val="Heading2"/>
      </w:pPr>
      <w:r>
        <w:t>4. The Field of Coherence &amp; Intention — the chooser</w:t>
      </w:r>
    </w:p>
    <w:p>
      <w:r>
        <w:t>Finally, the field of coherence is the lived practice: heart-centered states, group coherence, meditative focus, ritualized intention. This is both measurable (heart coherence via HRV, brain coherence via EEG/MEG) and experiential. In this model the field functions as an intelligent selector — the chooser of probabilities. When coherent intention is sustained, it biases the DNA spiral and the neuronal–glial translation system, increasing the likelihood that particular material and experiential outcomes will stabilize.</w:t>
      </w:r>
    </w:p>
    <w:p>
      <w:pPr>
        <w:pStyle w:val="Heading1"/>
      </w:pPr>
      <w:r>
        <w:t>Manifestation &amp; Environmental Effects: How the Field Shapes Matter</w:t>
      </w:r>
    </w:p>
    <w:p>
      <w:r>
        <w:t>A critical extension of this model is the claim that coherent fields can induce observable changes in the surrounding environment. This goes beyond internal physiology to include:</w:t>
        <w:br/>
        <w:br/>
        <w:t>- Material emergence or resolution: the local field can increase the probability of particular material configurations appearing (or previously present ones resolving). These events may be rare but reproducible under tightly controlled coherence protocols.</w:t>
        <w:br/>
        <w:t>- Synchronicity and symbolic patterning: the field communicates through meaningful coincidences — numbers, music motifs, and repeated symbolic occurrences — which act as feedback channels between the field and perceiving agents.</w:t>
        <w:br/>
        <w:t>- Acoustic/data signatures: intended coherence radiates patterned frequencies that can be detected as structured noise or signal in sensitive recording devices, sometimes aligning with musically relevant intervals or numeric sequences.</w:t>
      </w:r>
    </w:p>
    <w:p>
      <w:pPr>
        <w:pStyle w:val="Heading1"/>
      </w:pPr>
      <w:r>
        <w:t>Mechanisms &amp; Pathways (Conceptual)</w:t>
      </w:r>
    </w:p>
    <w:p>
      <w:r>
        <w:t>1. Biasing at boundary conditions: Coherent intention narrows the set of accessible quantum outcomes at localized atomic interfaces, acting like a soft measurement.</w:t>
        <w:br/>
        <w:t>2. DNA as probability filter: Resonant modulation of DNA dynamics shifts expression and temporal tendencies, making some phenotypic or behavioral outcomes more likely.</w:t>
        <w:br/>
        <w:t>3. Neuroglial translation: The nervous system integrates field bias into physiology and behavior via changes in firing patterns, neuromodulator release, and glial modulation.</w:t>
        <w:br/>
        <w:t>4. Field-to-environment coupling: Through coherent emission (electric/magnetic/EM field patterns, scalar or subtle field components), the system couples to proximate matter and information streams, sometimes producing pattern-rich synchronistic feedback (numbers, music intervals, repeated motifs).</w:t>
      </w:r>
    </w:p>
    <w:p>
      <w:pPr>
        <w:pStyle w:val="Heading1"/>
      </w:pPr>
      <w:r>
        <w:t>Testable Hypotheses &amp; Experimental Suggestions</w:t>
      </w:r>
    </w:p>
    <w:p>
      <w:r>
        <w:t>Hypothesis 1: Sustained heart-centered coherence produces measurable changes in local neuronal firing synchrony observable on EEG/MEG within a cohort versus matched control.</w:t>
        <w:br/>
        <w:t>- Protocol: Randomized controlled trial with coherence training group vs. active control; pre/post EEG coherence metrics, HRV, and salivary biomarkers.</w:t>
        <w:br/>
        <w:br/>
        <w:t>Hypothesis 2: Intention-driven coherence alters DNA expression patterns (epigenetic marks) in peripheral blood cells after a controlled practice period.</w:t>
        <w:br/>
        <w:t>- Protocol: Pre/post blood draws (RNA expression, methylation markers) with blinded processing; compare coherence group to control.</w:t>
        <w:br/>
        <w:br/>
        <w:t>Hypothesis 3: High-coherence groups increase the frequency of synchronicities and structured environmental signals within a bounded space (e.g., controlled lab room), compared to control groups.</w:t>
        <w:br/>
        <w:t>- Protocol: Define a set of target symbolic events (numeric sequences, randomly placed objects, or predetermined sound motifs). Track occurrence vs. randomized baseline over repeated sessions; record environmental EM/microphonic data for signal analysis.</w:t>
        <w:br/>
        <w:br/>
        <w:t>Hypothesis 4: Coherent intention produces detectable patterned signals in sensitive instrumentation (magnetometers, acoustic sensors) proximal to the group.</w:t>
        <w:br/>
        <w:t>- Protocol: Place sensitive sensors in shielded and non-shielded locations during coherence sessions and analyze for structured spectral content outside expected noise profiles.</w:t>
      </w:r>
    </w:p>
    <w:p>
      <w:pPr>
        <w:pStyle w:val="Heading1"/>
      </w:pPr>
      <w:r>
        <w:t>Implications</w:t>
      </w:r>
    </w:p>
    <w:p>
      <w:r>
        <w:t>For medicine: Integrative therapies combining coherence training with targeted biochemical or neuromodulatory interventions could accelerate healing, improve functional outcomes, and reduce relapse in chronic conditions.</w:t>
        <w:br/>
        <w:br/>
        <w:t>For technology: AI and brain–computer interfaces may benefit from integrating human coherence signals as tuning parameters; likewise, synthetic systems might be designed to recognize or mimic qualia-like patterning.</w:t>
        <w:br/>
        <w:br/>
        <w:t>For philosophy and spirituality: The soul as a distributed nexus dissolves rigid dichotomies between matter and spirit. Agency and meaning become emergent properties of a system that bridges field and form.</w:t>
      </w:r>
    </w:p>
    <w:p>
      <w:pPr>
        <w:pStyle w:val="Heading1"/>
      </w:pPr>
      <w:r>
        <w:t>Conclusion</w:t>
      </w:r>
    </w:p>
    <w:p>
      <w:r>
        <w:t>The “seat of the soul” need not be pinned to one organ; it is better conceived as a dynamic nexus of creation. The four layers proposed here — atomic interface, DNA spiral, neuronal–glial network, and the field of coherence — form an engine through which intention directs the collapse of probability into embodied reality. When coherence is cultivated, the field not only shifts internal physiology but can also extend into the proximate environment, producing manifest phenomena such as material changes, meaningful synchrony, and patterned communication through music and numbers. If validated through careful experimental design, this framework could reframe healing, deepen dialogue between science and spiritual practice, and suggest new applied interventions that honor both data and lived experience.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